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7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02"/>
        <w:gridCol w:w="283"/>
        <w:gridCol w:w="3402"/>
        <w:gridCol w:w="283"/>
        <w:gridCol w:w="3402"/>
      </w:tblGrid>
      <w:tr w:rsidR="003C604A" w:rsidTr="00E50D3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04A" w:rsidRPr="00C10BC4" w:rsidRDefault="005C00F1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8F653D">
              <w:rPr>
                <w:noProof/>
              </w:rPr>
              <w:drawing>
                <wp:inline distT="0" distB="0" distL="0" distR="0">
                  <wp:extent cx="2115820" cy="266065"/>
                  <wp:effectExtent l="0" t="0" r="0" b="635"/>
                  <wp:docPr id="3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c_blanks_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26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604A" w:rsidRPr="00C10BC4" w:rsidRDefault="003C604A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4A" w:rsidRPr="00C10BC4" w:rsidRDefault="003C604A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>ПОЛНАЯ СТОИМОСТЬ КРЕДИТА:  __________ ПРОЦЕНТА ГОДОВЫХ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04A" w:rsidRPr="00C10BC4" w:rsidRDefault="003C604A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4A" w:rsidRDefault="003C604A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 xml:space="preserve">ПОЛНАЯ СТОИМОСТЬ КРЕДИТА:__________ </w:t>
            </w:r>
            <w:r w:rsidRPr="001932AD">
              <w:rPr>
                <w:color w:val="FF0000"/>
              </w:rPr>
              <w:t>РУБЛЕЙ РФ/ДОЛЛАРОВ США/ЕВРО</w:t>
            </w:r>
          </w:p>
        </w:tc>
      </w:tr>
    </w:tbl>
    <w:p w:rsidR="00395571" w:rsidRDefault="00395571"/>
    <w:p w:rsidR="00511444" w:rsidRPr="001B4AE7" w:rsidRDefault="00511444" w:rsidP="001B4AE7">
      <w:pPr>
        <w:jc w:val="both"/>
        <w:rPr>
          <w:color w:val="FF0000"/>
        </w:rPr>
      </w:pPr>
      <w:r w:rsidRPr="00511444">
        <w:rPr>
          <w:i/>
          <w:color w:val="FF0000"/>
          <w:sz w:val="18"/>
        </w:rPr>
        <w:t>[Абзац ниже включается в случае если срок возврата кредита не превышает одного года]</w:t>
      </w:r>
      <w:r w:rsidRPr="00511444">
        <w:rPr>
          <w:color w:val="FF0000"/>
          <w:sz w:val="18"/>
        </w:rPr>
        <w:t xml:space="preserve"> </w:t>
      </w:r>
      <w:r w:rsidRPr="00511444">
        <w:rPr>
          <w:color w:val="FF0000"/>
          <w:sz w:val="18"/>
        </w:rPr>
        <w:br/>
      </w:r>
      <w:r w:rsidRPr="00615EB5">
        <w:rPr>
          <w:sz w:val="18"/>
        </w:rPr>
        <w:t xml:space="preserve">Начисление процентов, неустойки (штрафа, пени), иных мер ответственности по договору потребительского кредита, а также платежей за услуги, оказываемые Банком  заемщику за отдельную плату по договору потребительского кредита, не допускается и не осуществляется Банком после того, как сумма начисленных процентов, неустойки (штрафа, пени), иных мер ответственности по договору потребительского кредита, а также платежей за услуги, оказываемые Банком заемщику за отдельную плату по договору потребительского кредита, достигнет </w:t>
      </w:r>
      <w:r w:rsidR="00941333" w:rsidRPr="00941333">
        <w:rPr>
          <w:sz w:val="18"/>
        </w:rPr>
        <w:t>130 процентов от</w:t>
      </w:r>
      <w:r w:rsidR="009A56D3">
        <w:rPr>
          <w:sz w:val="18"/>
        </w:rPr>
        <w:t xml:space="preserve"> </w:t>
      </w:r>
      <w:r w:rsidRPr="00615EB5">
        <w:rPr>
          <w:sz w:val="18"/>
        </w:rPr>
        <w:t>суммы предоставленного потребительского кредита.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9"/>
        <w:gridCol w:w="3999"/>
        <w:gridCol w:w="6004"/>
      </w:tblGrid>
      <w:tr w:rsidR="0022575C" w:rsidRPr="00532257" w:rsidTr="008061A9">
        <w:trPr>
          <w:cantSplit/>
          <w:tblHeader/>
        </w:trPr>
        <w:tc>
          <w:tcPr>
            <w:tcW w:w="10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4" w:rsidRPr="006C1614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Индивидуальные условия договора потребительского кредита</w:t>
            </w:r>
          </w:p>
        </w:tc>
      </w:tr>
      <w:tr w:rsidR="0022575C" w:rsidRPr="00532257" w:rsidTr="008061A9">
        <w:trPr>
          <w:cantSplit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Условие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Содержание условия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 кредита или лимит кредитования и порядок его изменения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Сумма кредита составляет </w:t>
            </w:r>
            <w:r w:rsidR="00F6383A">
              <w:rPr>
                <w:sz w:val="18"/>
                <w:szCs w:val="18"/>
                <w:lang w:val="en-US"/>
              </w:rPr>
              <w:t xml:space="preserve"> </w:t>
            </w:r>
            <w:r w:rsidRPr="00532257">
              <w:rPr>
                <w:sz w:val="18"/>
                <w:szCs w:val="18"/>
              </w:rPr>
              <w:t>________________(______________)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Срок действия договора, срок возврата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Кредит предоставляется на срок до «__» _______ 20__ года («Дата полного погашения Кредита»). Договор действует до даты погашения Задолженности по Кредиту в полном объеме.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Валюта, в которой предоставляется кредит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6C1614" w:rsidRDefault="006C1614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6C1614">
              <w:rPr>
                <w:sz w:val="18"/>
                <w:szCs w:val="18"/>
              </w:rPr>
              <w:t>рубли Российской Федерации/доллары США/Евро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0F26A8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Процентная ставка (процентные ставки) в процентах годовых, а при применении переменной процентной ставки - порядок ее определения, соответствующий требованиям Федерального закона от 21 декабря 2013 года № 353-ФЗ "О потребительском кредите (займе)", ее значение на дату предоставления заемщику индивидуальных условий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_________ % (_________ процентов) годовых</w:t>
            </w:r>
          </w:p>
          <w:p w:rsidR="00511444" w:rsidRDefault="00511444" w:rsidP="00532257">
            <w:pPr>
              <w:spacing w:after="0" w:line="240" w:lineRule="auto"/>
              <w:rPr>
                <w:sz w:val="18"/>
                <w:szCs w:val="18"/>
              </w:rPr>
            </w:pPr>
          </w:p>
          <w:p w:rsidR="00511444" w:rsidRDefault="00511444" w:rsidP="005114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вправе в одностороннем порядке уменьшить процентную ставку как на весь срок действия Договора, так и на любой период в течение срока действия Договора.</w:t>
            </w:r>
          </w:p>
          <w:p w:rsidR="00511444" w:rsidRPr="00532257" w:rsidRDefault="00511444" w:rsidP="00511444">
            <w:pPr>
              <w:spacing w:after="0" w:line="240" w:lineRule="auto"/>
              <w:rPr>
                <w:sz w:val="18"/>
                <w:szCs w:val="18"/>
              </w:rPr>
            </w:pPr>
            <w:r w:rsidRPr="000B3928">
              <w:rPr>
                <w:rFonts w:cs="Calibri"/>
                <w:sz w:val="18"/>
                <w:szCs w:val="18"/>
              </w:rPr>
              <w:t>В случае принятия Банком решения об изменении процентной ставки Банк сообщает об этом Заемщику  и направляет новый График платежей по настоящему Договору в порядке, установленном строкой 16 настоящих Индивидуальных условий</w:t>
            </w:r>
            <w:r>
              <w:rPr>
                <w:rFonts w:cs="Calibri"/>
                <w:sz w:val="18"/>
                <w:szCs w:val="18"/>
              </w:rPr>
              <w:t>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определения курса иностранной валюты при переводе денежных средств кредитором третьему лицу, указанному заемщиком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417C8B" w:rsidRDefault="006C1614" w:rsidP="00532257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по курсу Банка России на день продажи</w:t>
            </w:r>
            <w:r w:rsidR="00417C8B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0F26A8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A8" w:rsidRPr="00532257" w:rsidRDefault="000F26A8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5</w:t>
            </w:r>
            <w:r w:rsidRPr="00E41CE3">
              <w:rPr>
                <w:sz w:val="18"/>
                <w:szCs w:val="18"/>
                <w:vertAlign w:val="superscript"/>
              </w:rPr>
              <w:t>1</w:t>
            </w:r>
            <w:r w:rsidRPr="00E41CE3">
              <w:rPr>
                <w:sz w:val="18"/>
                <w:szCs w:val="18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A8" w:rsidRPr="00532257" w:rsidRDefault="000F26A8" w:rsidP="0051144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Указание на изменение суммы расходов заемщика при увеличении используемой в договоре переменной процентной ставки потребительского кредита на один процентный пункт начиная со второго очередного платежа на ближайшую дату после предполагаемой даты заключения договора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A8" w:rsidRPr="009604E0" w:rsidRDefault="000F26A8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Отсутствует.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Количество, размер и периодичность (сроки) платежей заемщика по договору или порядок определения этих платежей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A3" w:rsidRPr="007E3EA3" w:rsidRDefault="00E0697E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3D12">
              <w:rPr>
                <w:i/>
                <w:color w:val="FF0000"/>
                <w:sz w:val="18"/>
                <w:szCs w:val="18"/>
              </w:rPr>
              <w:t>[</w:t>
            </w:r>
            <w:r>
              <w:rPr>
                <w:i/>
                <w:color w:val="FF0000"/>
                <w:sz w:val="18"/>
                <w:szCs w:val="18"/>
              </w:rPr>
              <w:t>при</w:t>
            </w:r>
            <w:r w:rsidRPr="00AD3D12">
              <w:rPr>
                <w:i/>
                <w:color w:val="FF0000"/>
                <w:sz w:val="18"/>
                <w:szCs w:val="18"/>
              </w:rPr>
              <w:t xml:space="preserve"> предоставлени</w:t>
            </w:r>
            <w:r>
              <w:rPr>
                <w:i/>
                <w:color w:val="FF0000"/>
                <w:sz w:val="18"/>
                <w:szCs w:val="18"/>
              </w:rPr>
              <w:t>и</w:t>
            </w:r>
            <w:r w:rsidRPr="00AD3D12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7E3EA3" w:rsidRPr="007E3EA3">
              <w:rPr>
                <w:i/>
                <w:color w:val="FF0000"/>
                <w:sz w:val="18"/>
                <w:szCs w:val="18"/>
              </w:rPr>
              <w:t>отсрочки с минимальными платежами]</w:t>
            </w:r>
            <w:r w:rsidR="00601042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7E3EA3" w:rsidRPr="007E3EA3">
              <w:rPr>
                <w:sz w:val="18"/>
                <w:szCs w:val="18"/>
              </w:rPr>
              <w:t>Погашение Кредита и уплата начисленных на его сумму процентов (далее «Задолженности по Кредиту») производится в следующем порядке:</w:t>
            </w:r>
          </w:p>
          <w:p w:rsidR="004B3AFB" w:rsidRPr="004B3AFB" w:rsidRDefault="004B3AFB" w:rsidP="004B3A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B3AFB">
              <w:rPr>
                <w:sz w:val="18"/>
                <w:szCs w:val="18"/>
              </w:rPr>
              <w:t>«__» ________ года («Дата Первого Погашения») Заемщиком производится платеж в размере</w:t>
            </w:r>
            <w:r>
              <w:rPr>
                <w:sz w:val="18"/>
                <w:szCs w:val="18"/>
              </w:rPr>
              <w:t xml:space="preserve"> </w:t>
            </w:r>
            <w:r w:rsidRPr="004B3AFB">
              <w:rPr>
                <w:sz w:val="18"/>
                <w:szCs w:val="18"/>
              </w:rPr>
              <w:t xml:space="preserve"> ________ (________)</w:t>
            </w:r>
            <w:r w:rsidR="000956EB">
              <w:rPr>
                <w:sz w:val="18"/>
                <w:szCs w:val="18"/>
              </w:rPr>
              <w:t xml:space="preserve"> </w:t>
            </w:r>
            <w:r w:rsidR="000956EB" w:rsidRPr="004B3AFB">
              <w:rPr>
                <w:sz w:val="18"/>
                <w:szCs w:val="18"/>
              </w:rPr>
              <w:t xml:space="preserve">рублей РФ </w:t>
            </w:r>
            <w:r w:rsidRPr="004B3AFB">
              <w:rPr>
                <w:sz w:val="18"/>
                <w:szCs w:val="18"/>
              </w:rPr>
              <w:t>долларов</w:t>
            </w:r>
            <w:r w:rsidR="000956EB">
              <w:rPr>
                <w:sz w:val="18"/>
                <w:szCs w:val="18"/>
              </w:rPr>
              <w:t>/</w:t>
            </w:r>
            <w:r w:rsidRPr="004B3AFB">
              <w:rPr>
                <w:sz w:val="18"/>
                <w:szCs w:val="18"/>
              </w:rPr>
              <w:t xml:space="preserve">США/Евро, который направляется в первую очередь - на погашение процентов, начисленных на сумму основного долга по Кредиту, а в оставшейся части – на погашение основного долга по Кредиту.  После Даты Первого Погашения погашение Задолженности по Кредиту производится ежемесячно _______ числа календарного месяца (далее «Дата Погашения») равными (аннуитетными) платежами, которые складываются из суммы начисленных на Дату Погашения процентов и части основного долга, если иное не установлено Договором, и рассчитываются по формуле, </w:t>
            </w:r>
            <w:r w:rsidRPr="00532257">
              <w:rPr>
                <w:sz w:val="18"/>
                <w:szCs w:val="18"/>
              </w:rPr>
              <w:t xml:space="preserve">указанной в </w:t>
            </w:r>
            <w:r w:rsidRPr="00EC1556">
              <w:rPr>
                <w:sz w:val="18"/>
                <w:szCs w:val="18"/>
              </w:rPr>
              <w:t>Общих условиях договора потребительского кредита на цели погашения кредитной задолженности и уплаты процентов</w:t>
            </w:r>
            <w:r w:rsidRPr="00532257">
              <w:rPr>
                <w:sz w:val="18"/>
                <w:szCs w:val="18"/>
              </w:rPr>
              <w:t xml:space="preserve"> (далее – «Общие условия»).</w:t>
            </w:r>
          </w:p>
          <w:p w:rsidR="007E3EA3" w:rsidRPr="007E3EA3" w:rsidRDefault="007E3EA3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E3EA3" w:rsidRPr="00AD3D12" w:rsidRDefault="00AD3D12" w:rsidP="00532257">
            <w:pPr>
              <w:spacing w:after="0" w:line="240" w:lineRule="auto"/>
              <w:jc w:val="both"/>
              <w:rPr>
                <w:i/>
                <w:color w:val="FF0000"/>
                <w:sz w:val="18"/>
                <w:szCs w:val="18"/>
              </w:rPr>
            </w:pPr>
            <w:r w:rsidRPr="00AD3D12">
              <w:rPr>
                <w:i/>
                <w:color w:val="FF0000"/>
                <w:sz w:val="18"/>
                <w:szCs w:val="18"/>
              </w:rPr>
              <w:t>[</w:t>
            </w:r>
            <w:r w:rsidR="00C64DF0">
              <w:rPr>
                <w:i/>
                <w:color w:val="FF0000"/>
                <w:sz w:val="18"/>
                <w:szCs w:val="18"/>
              </w:rPr>
              <w:t>при</w:t>
            </w:r>
            <w:r w:rsidRPr="00AD3D12">
              <w:rPr>
                <w:i/>
                <w:color w:val="FF0000"/>
                <w:sz w:val="18"/>
                <w:szCs w:val="18"/>
              </w:rPr>
              <w:t xml:space="preserve"> предоставлени</w:t>
            </w:r>
            <w:r w:rsidR="00C64DF0">
              <w:rPr>
                <w:i/>
                <w:color w:val="FF0000"/>
                <w:sz w:val="18"/>
                <w:szCs w:val="18"/>
              </w:rPr>
              <w:t>и</w:t>
            </w:r>
            <w:r w:rsidRPr="00AD3D12">
              <w:rPr>
                <w:i/>
                <w:color w:val="FF0000"/>
                <w:sz w:val="18"/>
                <w:szCs w:val="18"/>
              </w:rPr>
              <w:t xml:space="preserve"> отсрочки без минимального платежа]</w:t>
            </w:r>
            <w:r w:rsidR="008C7A2E">
              <w:t xml:space="preserve"> </w:t>
            </w:r>
            <w:r w:rsidR="008C7A2E" w:rsidRPr="008C7A2E">
              <w:rPr>
                <w:sz w:val="18"/>
                <w:szCs w:val="18"/>
              </w:rPr>
              <w:t>Погашение Кредита и уплата начисленных на его сумму процентов (далее «Задолженности по Кредиту») производится начиная с «___» _______ года, ежемесячно по _______ числам календарного месяца (далее «Дата Погашения») равными (аннуитетными) платежами, которые складываются из суммы начисленных на Дату Погашения процентов и части основного долга, если иное не установлено Договором, и рассчитываются по формуле</w:t>
            </w:r>
            <w:r w:rsidR="008C7A2E" w:rsidRPr="004B3AFB">
              <w:rPr>
                <w:sz w:val="18"/>
                <w:szCs w:val="18"/>
              </w:rPr>
              <w:t xml:space="preserve">, </w:t>
            </w:r>
            <w:r w:rsidR="008C7A2E" w:rsidRPr="00532257">
              <w:rPr>
                <w:sz w:val="18"/>
                <w:szCs w:val="18"/>
              </w:rPr>
              <w:t xml:space="preserve">указанной в </w:t>
            </w:r>
            <w:r w:rsidR="008C7A2E" w:rsidRPr="00EC1556">
              <w:rPr>
                <w:sz w:val="18"/>
                <w:szCs w:val="18"/>
              </w:rPr>
              <w:t>Общих условиях договора потребительского кредита на цели погашения кредитной задолженности и уплаты процентов</w:t>
            </w:r>
            <w:r w:rsidR="008C7A2E" w:rsidRPr="00532257">
              <w:rPr>
                <w:sz w:val="18"/>
                <w:szCs w:val="18"/>
              </w:rPr>
              <w:t xml:space="preserve"> (далее – «Общие условия»).</w:t>
            </w:r>
          </w:p>
          <w:p w:rsidR="007E3EA3" w:rsidRPr="007E3EA3" w:rsidRDefault="007E3EA3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2575C" w:rsidRPr="00532257" w:rsidRDefault="00467CA9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7CA9">
              <w:rPr>
                <w:sz w:val="18"/>
                <w:szCs w:val="18"/>
              </w:rPr>
              <w:t xml:space="preserve">Размер ежемесячного аннуитетного платежа, рассчитанный на дату </w:t>
            </w:r>
            <w:r w:rsidRPr="00467CA9">
              <w:rPr>
                <w:color w:val="000000"/>
                <w:sz w:val="18"/>
                <w:szCs w:val="18"/>
              </w:rPr>
              <w:t xml:space="preserve">использования </w:t>
            </w:r>
            <w:r w:rsidRPr="00467CA9">
              <w:rPr>
                <w:color w:val="FF0000"/>
                <w:sz w:val="18"/>
                <w:szCs w:val="18"/>
              </w:rPr>
              <w:t xml:space="preserve">Кредита/Второй части Кредита </w:t>
            </w:r>
            <w:r w:rsidRPr="00467CA9">
              <w:rPr>
                <w:i/>
                <w:iCs/>
                <w:color w:val="FF0000"/>
                <w:sz w:val="18"/>
                <w:szCs w:val="18"/>
              </w:rPr>
              <w:t>[до дроби включается в случае если по Реструктурируемому кредиту предоставлена отсрочка без минимальных платежей, после дроби – с минимальными платежами]</w:t>
            </w:r>
            <w:r w:rsidRPr="00467CA9">
              <w:rPr>
                <w:sz w:val="18"/>
                <w:szCs w:val="18"/>
              </w:rPr>
              <w:t xml:space="preserve"> составит __________________ (_______________________________)</w:t>
            </w:r>
            <w:r w:rsidR="002A0684">
              <w:rPr>
                <w:sz w:val="18"/>
                <w:szCs w:val="18"/>
              </w:rPr>
              <w:t xml:space="preserve"> </w:t>
            </w:r>
            <w:r w:rsidR="002A0684" w:rsidRPr="006C1614">
              <w:rPr>
                <w:sz w:val="18"/>
                <w:szCs w:val="18"/>
              </w:rPr>
              <w:t>рубл</w:t>
            </w:r>
            <w:r w:rsidR="002A0684">
              <w:rPr>
                <w:sz w:val="18"/>
                <w:szCs w:val="18"/>
              </w:rPr>
              <w:t>ей</w:t>
            </w:r>
            <w:r w:rsidR="002A0684" w:rsidRPr="006C1614">
              <w:rPr>
                <w:sz w:val="18"/>
                <w:szCs w:val="18"/>
              </w:rPr>
              <w:t xml:space="preserve"> Р</w:t>
            </w:r>
            <w:r w:rsidR="000956EB">
              <w:rPr>
                <w:sz w:val="18"/>
                <w:szCs w:val="18"/>
              </w:rPr>
              <w:t>Ф</w:t>
            </w:r>
            <w:r w:rsidR="002A0684" w:rsidRPr="006C1614">
              <w:rPr>
                <w:sz w:val="18"/>
                <w:szCs w:val="18"/>
              </w:rPr>
              <w:t>/доллар</w:t>
            </w:r>
            <w:r w:rsidR="002A0684">
              <w:rPr>
                <w:sz w:val="18"/>
                <w:szCs w:val="18"/>
              </w:rPr>
              <w:t>ов</w:t>
            </w:r>
            <w:r w:rsidR="002A0684" w:rsidRPr="006C1614">
              <w:rPr>
                <w:sz w:val="18"/>
                <w:szCs w:val="18"/>
              </w:rPr>
              <w:t xml:space="preserve"> США/Евро</w:t>
            </w:r>
            <w:r w:rsidR="002A0684">
              <w:rPr>
                <w:sz w:val="18"/>
                <w:szCs w:val="18"/>
              </w:rPr>
              <w:t>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изменения количества, размера и периодичности (сроков) платежей заемщика при частичном досрочном возврате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При досрочном погашении части суммы Основного долга по Кредиту Дата полного погашения Кредита не изменяется, а размер ежемесячного аннуитетного платежа подлежит пересчету в порядке, установленном Общими условиями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исполнения заемщиком обязательств по договору по месту нахождения заемщика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 целях исполнения обязательства Заемщика по погашению Кредита, Заемщик обязуется обеспечить на счете, указанном в пункте 17 настоящих Индивидуальных условий (далее – «Счет»), денежные средства в сумме и в срок, установленные пунктом 6 настоящих Индивидуальных условий.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Пополнение Счета возможно наличными в офисах Банка или безналичным переводом на Счет. Способы перечисления денежных средств на Счет приведены на странице «Способы погашения кредита» сайта Банка </w:t>
            </w:r>
            <w:hyperlink r:id="rId8" w:history="1">
              <w:r w:rsidR="005F4F55" w:rsidRPr="001E185F">
                <w:rPr>
                  <w:rStyle w:val="Hyperlink"/>
                  <w:sz w:val="18"/>
                  <w:szCs w:val="18"/>
                </w:rPr>
                <w:t>www.unicreditbank.ru</w:t>
              </w:r>
            </w:hyperlink>
            <w:r w:rsidRPr="00532257">
              <w:rPr>
                <w:sz w:val="18"/>
                <w:szCs w:val="18"/>
              </w:rPr>
              <w:t xml:space="preserve">.  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Бесплатный способ исполнения заемщиком обязательств по договору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Плата за зачисление денежных средств на Счет или перевод на него денежных средств с другого счета, открытого в Банке, Банком не взимается.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Способы зачисления или перечисления денежных средств на Счет без взимания комиссионного вознаграждения с отправителя/вносителя в регионе вручения Заемщику настоящих Индивидуальных условий договора потребительского кредита приведен в приложении к ним.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заключить иные договоры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8D03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по предоставлению обеспечения исполнения обязательств по договору  и требования к такому обеспечению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C321B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Цели использования заемщиком потребительского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2" w:rsidRPr="00365C82" w:rsidRDefault="00365C82" w:rsidP="00365C82">
            <w:pPr>
              <w:pStyle w:val="BodyText2"/>
              <w:spacing w:line="216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11.1</w:t>
            </w:r>
            <w:r w:rsidRPr="00365C82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Первая часть, в размере ______________, предоставляется на цели погашения задолженности по</w:t>
            </w:r>
            <w:r w:rsidRPr="00365C8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65C82">
              <w:rPr>
                <w:rFonts w:ascii="Calibri" w:hAnsi="Calibri" w:cs="Times New Roman"/>
                <w:bCs w:val="0"/>
                <w:i/>
                <w:iCs/>
                <w:caps w:val="0"/>
                <w:color w:val="FF0000"/>
                <w:sz w:val="18"/>
                <w:szCs w:val="18"/>
              </w:rPr>
              <w:t>кредитному договору № ___________/договору о предоставлении кредита [последнее для договора кредитования, заключенного путем оферты/акцепта]</w:t>
            </w:r>
            <w:r w:rsidRPr="00365C82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, заключенному ______________ года в городе _______ с Банком в сумме ______________ (__________)</w:t>
            </w:r>
            <w:r w:rsidR="00B22B26" w:rsidRPr="00B22B26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рублей РФ/долларов США/Евро</w:t>
            </w:r>
            <w:r w:rsidRPr="00365C82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.</w:t>
            </w:r>
          </w:p>
          <w:p w:rsidR="0022575C" w:rsidRPr="00532257" w:rsidRDefault="00365C82" w:rsidP="0053225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  <w:r w:rsidRPr="00365C82">
              <w:rPr>
                <w:sz w:val="18"/>
                <w:szCs w:val="18"/>
              </w:rPr>
              <w:t xml:space="preserve"> Вторая часть, в размере ____________</w:t>
            </w:r>
            <w:r w:rsidR="00B22B26" w:rsidRPr="00B22B26">
              <w:rPr>
                <w:sz w:val="18"/>
                <w:szCs w:val="18"/>
              </w:rPr>
              <w:t xml:space="preserve"> рублей РФ/долларов США/Евро</w:t>
            </w:r>
            <w:r w:rsidRPr="00365C82">
              <w:rPr>
                <w:sz w:val="18"/>
                <w:szCs w:val="18"/>
              </w:rPr>
              <w:t xml:space="preserve">, предоставляется на цели уплаты процентов, начисленных на сумму   основного долга по Кредиту к Дате Первого Погашения. 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Ответственность заемщика за ненадлежащее </w:t>
            </w:r>
            <w:r w:rsidRPr="001950F4">
              <w:rPr>
                <w:sz w:val="18"/>
                <w:szCs w:val="18"/>
              </w:rPr>
              <w:t>исполнение условий</w:t>
            </w:r>
            <w:r w:rsidRPr="00532257">
              <w:rPr>
                <w:sz w:val="18"/>
                <w:szCs w:val="18"/>
              </w:rPr>
              <w:t xml:space="preserve"> договора, размер неустойки (штрафа, пени) или порядок их определения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pStyle w:val="BodyText"/>
              <w:keepNext/>
              <w:spacing w:before="40" w:after="20"/>
              <w:outlineLvl w:val="1"/>
              <w:rPr>
                <w:rFonts w:ascii="Calibri" w:hAnsi="Calibri" w:cs="Calibri"/>
                <w:sz w:val="18"/>
                <w:szCs w:val="18"/>
              </w:rPr>
            </w:pPr>
            <w:r w:rsidRPr="00532257">
              <w:rPr>
                <w:rFonts w:ascii="Calibri" w:hAnsi="Calibri" w:cs="Calibri"/>
                <w:sz w:val="18"/>
                <w:szCs w:val="18"/>
              </w:rPr>
              <w:t>В случае несвоевременного погашения Задолженности по Кредиту Заемщик уплачивает Банку неустойку в размере</w:t>
            </w:r>
            <w:r w:rsidR="00067889">
              <w:rPr>
                <w:rFonts w:ascii="Calibri" w:hAnsi="Calibri" w:cs="Calibri"/>
                <w:sz w:val="18"/>
                <w:szCs w:val="18"/>
              </w:rPr>
              <w:t xml:space="preserve"> 20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% годовых, начисляемых на  сумму просроченной задолженности</w:t>
            </w:r>
            <w:r w:rsidR="00067889">
              <w:rPr>
                <w:rFonts w:ascii="Calibri" w:hAnsi="Calibri" w:cs="Calibri"/>
                <w:sz w:val="18"/>
                <w:szCs w:val="18"/>
              </w:rPr>
              <w:t xml:space="preserve"> по Кредиту за период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с даты, когда </w:t>
            </w:r>
            <w:r w:rsidR="00147D45">
              <w:rPr>
                <w:rFonts w:ascii="Calibri" w:hAnsi="Calibri" w:cs="Calibri"/>
                <w:sz w:val="18"/>
                <w:szCs w:val="18"/>
              </w:rPr>
              <w:t xml:space="preserve">соответствующая 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сумма подлежала уплате, по дату ее фактической выплаты </w:t>
            </w:r>
            <w:r w:rsidR="007F5585">
              <w:rPr>
                <w:rFonts w:ascii="Calibri" w:hAnsi="Calibri" w:cs="Calibri"/>
                <w:sz w:val="18"/>
                <w:szCs w:val="18"/>
              </w:rPr>
              <w:t xml:space="preserve">Банку </w:t>
            </w:r>
            <w:r w:rsidRPr="00532257">
              <w:rPr>
                <w:rFonts w:ascii="Calibri" w:hAnsi="Calibri" w:cs="Calibri"/>
                <w:sz w:val="18"/>
                <w:szCs w:val="18"/>
              </w:rPr>
              <w:t>включительно.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Условие об уступке кредитором третьим лицам прав (требований) по договору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Настоящим </w:t>
            </w: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выражаю согласие</w:t>
            </w: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запрещаю</w:t>
            </w: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Банку передачу (уступку) Банком своих прав Кредитора по Договору третьим лицам (кредитной или иной организации, в том числе не имеющей лицензию на право осуществления банковской деятельности).</w:t>
            </w: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_______________________</w:t>
            </w: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Подпись Заемщика</w:t>
            </w:r>
          </w:p>
          <w:p w:rsidR="00D14233" w:rsidRPr="00CA1F23" w:rsidRDefault="00D14233" w:rsidP="00D14233">
            <w:pPr>
              <w:spacing w:after="0" w:line="120" w:lineRule="auto"/>
              <w:rPr>
                <w:rFonts w:asciiTheme="minorHAnsi" w:hAnsiTheme="minorHAnsi" w:cstheme="minorBidi"/>
                <w:sz w:val="18"/>
                <w:szCs w:val="18"/>
              </w:rPr>
            </w:pPr>
          </w:p>
          <w:p w:rsidR="00D14233" w:rsidRPr="00CA1F23" w:rsidRDefault="00D14233" w:rsidP="00D14233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Согласие Заемщика на уступку означает, что Банк по своему усмотрению может передать функции обслуживания Заемщика по Договору третьим лицам (кредитной или иной организации, в том числе не имеющей лицензию на право осуществления банковской деятельности), передать в залог права требования, принадлежащие Банку на основании Договора с уведомлением об этом Заемщика.</w:t>
            </w:r>
          </w:p>
          <w:p w:rsidR="0022575C" w:rsidRPr="00532257" w:rsidRDefault="00D14233" w:rsidP="00D142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 обслуживанием Заемщика понимается любое из действий, направленных на получение от Заемщика исполнения обязательств по Договору, в том числе принятие платежей Заемщика и/или консультирование Заемщика по вопросам исполнения обязательств по Договору и/или взыскание с Заемщика задолженности по Договору и/или исполнение иных функций, переданных Банком другому лицу (кредитной или иной организации, в том числе не имеющей лицензию на право осуществления банковской деятельности) для целей получения от Заемщика исполнения по Договору и названных Банком в уведомлении.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Согласие заемщика с общими условиями договора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961004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Подписанием настоящих Индивидуальных условий Заемщик подтверждает, что Общие условия ему вручены и понятны, Заемщик с ними  согласен, и признает, что Договор о </w:t>
            </w:r>
            <w:r w:rsidR="00961004">
              <w:rPr>
                <w:sz w:val="18"/>
                <w:szCs w:val="18"/>
              </w:rPr>
              <w:t xml:space="preserve">потребительском </w:t>
            </w:r>
            <w:r w:rsidRPr="00532257">
              <w:rPr>
                <w:sz w:val="18"/>
                <w:szCs w:val="18"/>
              </w:rPr>
              <w:t xml:space="preserve"> кредит</w:t>
            </w:r>
            <w:r w:rsidR="00961004">
              <w:rPr>
                <w:sz w:val="18"/>
                <w:szCs w:val="18"/>
              </w:rPr>
              <w:t>е</w:t>
            </w:r>
            <w:r w:rsidRPr="00532257">
              <w:rPr>
                <w:sz w:val="18"/>
                <w:szCs w:val="18"/>
              </w:rPr>
              <w:t xml:space="preserve"> на </w:t>
            </w:r>
            <w:r w:rsidR="00961004">
              <w:rPr>
                <w:sz w:val="18"/>
                <w:szCs w:val="18"/>
              </w:rPr>
              <w:t xml:space="preserve">цели погашения кредитной задолженности и уплаты процентов </w:t>
            </w:r>
            <w:r w:rsidRPr="00532257">
              <w:rPr>
                <w:sz w:val="18"/>
                <w:szCs w:val="18"/>
              </w:rPr>
              <w:t xml:space="preserve"> («Договор») состоит из настоящих Индивидуальных условий договора потребительского кредита и Общих условий.</w:t>
            </w:r>
          </w:p>
        </w:tc>
      </w:tr>
      <w:tr w:rsidR="0022575C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C3092B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5A3EC1">
              <w:rPr>
                <w:sz w:val="18"/>
                <w:szCs w:val="18"/>
              </w:rPr>
              <w:t xml:space="preserve">казываемые </w:t>
            </w:r>
            <w:r w:rsidRPr="00833A82">
              <w:rPr>
                <w:sz w:val="18"/>
                <w:szCs w:val="18"/>
              </w:rPr>
              <w:t xml:space="preserve">услуги (выполняемые работы, реализуемые товары) </w:t>
            </w:r>
            <w:r w:rsidRPr="005A3EC1">
              <w:rPr>
                <w:sz w:val="18"/>
                <w:szCs w:val="18"/>
              </w:rPr>
              <w:t>кредитором заемщику за отдельную плату и необходимые для заключения договора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потребительского кредита (займа) (при наличии)</w:t>
            </w:r>
            <w:r w:rsidRPr="005A3EC1">
              <w:rPr>
                <w:sz w:val="18"/>
                <w:szCs w:val="18"/>
              </w:rPr>
              <w:t>, их цена или порядок ее определения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(при наличии)</w:t>
            </w:r>
            <w:r w:rsidRPr="005A3EC1">
              <w:rPr>
                <w:sz w:val="18"/>
                <w:szCs w:val="18"/>
              </w:rPr>
              <w:t xml:space="preserve">, а также </w:t>
            </w:r>
            <w:r>
              <w:rPr>
                <w:sz w:val="18"/>
                <w:szCs w:val="18"/>
              </w:rPr>
              <w:t xml:space="preserve">подтверждение </w:t>
            </w:r>
            <w:r w:rsidRPr="005A3EC1">
              <w:rPr>
                <w:sz w:val="18"/>
                <w:szCs w:val="18"/>
              </w:rPr>
              <w:t>согласи</w:t>
            </w:r>
            <w:r>
              <w:rPr>
                <w:sz w:val="18"/>
                <w:szCs w:val="18"/>
              </w:rPr>
              <w:t>я</w:t>
            </w:r>
            <w:r w:rsidRPr="005A3EC1">
              <w:rPr>
                <w:sz w:val="18"/>
                <w:szCs w:val="18"/>
              </w:rPr>
              <w:t xml:space="preserve"> заемщика на </w:t>
            </w:r>
            <w:r>
              <w:rPr>
                <w:sz w:val="18"/>
                <w:szCs w:val="18"/>
              </w:rPr>
              <w:t xml:space="preserve">их </w:t>
            </w:r>
            <w:r w:rsidRPr="005A3EC1">
              <w:rPr>
                <w:sz w:val="18"/>
                <w:szCs w:val="18"/>
              </w:rPr>
              <w:t xml:space="preserve">оказание </w:t>
            </w:r>
            <w:r w:rsidRPr="00833A82">
              <w:rPr>
                <w:sz w:val="18"/>
                <w:szCs w:val="18"/>
              </w:rPr>
              <w:t>(выполнение, п</w:t>
            </w:r>
            <w:bookmarkStart w:id="0" w:name="_GoBack"/>
            <w:bookmarkEnd w:id="0"/>
            <w:r w:rsidRPr="00833A82">
              <w:rPr>
                <w:sz w:val="18"/>
                <w:szCs w:val="18"/>
              </w:rPr>
              <w:t>риобретение)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Отсутствуют.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обмена информацией между кредитором и заемщиком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8061A9" w:rsidRDefault="008061A9" w:rsidP="00806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Размещение Банком информации на интернет-сайте Банка </w:t>
            </w:r>
            <w:hyperlink r:id="rId9" w:history="1">
              <w:r w:rsidRPr="008061A9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www</w:t>
              </w:r>
              <w:r w:rsidRPr="008061A9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8061A9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unicreditbank</w:t>
              </w:r>
              <w:r w:rsidRPr="008061A9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8061A9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ru</w:t>
              </w:r>
            </w:hyperlink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>.</w:t>
            </w:r>
          </w:p>
          <w:p w:rsidR="008061A9" w:rsidRPr="008061A9" w:rsidRDefault="008061A9" w:rsidP="00806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>Размещение Банком объявлений на стендах офисов Банка, осуществляющих обслуживание клиентов.</w:t>
            </w:r>
          </w:p>
          <w:p w:rsidR="008061A9" w:rsidRPr="008061A9" w:rsidRDefault="008061A9" w:rsidP="00806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>Рассылка Банком информационных сообщений на адрес электронной почты, сообщенный Заемщиком Банку.</w:t>
            </w:r>
          </w:p>
          <w:p w:rsidR="008061A9" w:rsidRPr="008061A9" w:rsidRDefault="008061A9" w:rsidP="00806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>Личное обращение Заемщика в офис Банка.</w:t>
            </w:r>
          </w:p>
          <w:p w:rsidR="008061A9" w:rsidRPr="008061A9" w:rsidRDefault="008061A9" w:rsidP="008061A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Иные способы направления Банком информации, позволяющие Заемщику получить информацию и установить, что она исходит от Банка. 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Все уведомления и сообщения, направляемые Банком Заемщику в соответствии с Договором или в связи с ним, должны составляться в письменной форме и будут считаться поданными надлежащим образом, если они направлены по адресу регистрации, указанному в Договоре, или иному сообщенному Заемщиком Банку адресу. В случае, если корреспонденция направлялась Банком Заемщику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:rsidR="008061A9" w:rsidRPr="008061A9" w:rsidRDefault="008061A9" w:rsidP="008061A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При этом: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В случае если между Банком и Заемщиком заключен Договор об использовании системы «Enter.UniCredit», вышеуказанные уведомления и сообщения будут считаться составленными в письменной форме и поданными надлежащим образом, если они направлены Банком с использованием системы «Enter.UniCredit».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Информация о размере текущей задолженности по Договору, датах и размерах произведенных и предстоящих платежей Заемщика по Договору и полной стоимости кредита может быть получена Заемщиком в любом офисе Банка в часы работы офиса.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Информация о наличии просроченной задолженности по Договору будет считаться направленной Банком Заемщику надлежащим образом, если она была направлена по адресу электронной почты или в виде 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-сообщения на номер мобильного телефона, сообщенный Заемщиком Банку в письменной форме.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Уведомление о привлечении Банком иного лица для осуществления взаимодействия с Заемщиком, направленного на возврат просроченной задолженности, направляется Банком одним из способов, по усмотрению Банка: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Enter.UniCredit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 в виде SMS-сообщения по номеру мобильного телефона, сообщенному Заемщиком Банку в письменной форме;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 в письменной форме по адресу регистрации, указанному в Договоре, или иному сообщенному Заемщиком Банку адресу.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изменения размера процентной ставки в соответствии со строкой 4 настоящих Индивидуальных условий информация направляется Банком Заемщику в виде 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 сообщения на номер мобильного телефона, сообщенный Заемщиком Банку в письменной форме.  При этом новый График платежей будет считаться направленным Банком Заемщику надлежащим образом, если он был направлен одним из способов, по усмотрению Банка: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Enter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UniCredit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8061A9" w:rsidRPr="008061A9" w:rsidRDefault="008061A9" w:rsidP="008061A9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 - в письменной форме по адресу регистрации, указанному в Договоре, или иному сообщенному Заемщиком Банку адресу. </w:t>
            </w:r>
          </w:p>
          <w:p w:rsidR="008061A9" w:rsidRPr="008061A9" w:rsidRDefault="008061A9" w:rsidP="008061A9">
            <w:pPr>
              <w:spacing w:after="0" w:line="240" w:lineRule="auto"/>
              <w:ind w:left="7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поступления 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- сообщения об изменении процентной ставки по Договору и неполучения Заемщиком нового Графика платежей Заемщик обязан обратиться в отделение Банка. </w:t>
            </w:r>
          </w:p>
          <w:p w:rsidR="008061A9" w:rsidRPr="008061A9" w:rsidRDefault="008061A9" w:rsidP="008061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Требование Заемщика об изменении условий Договора в соответствии </w:t>
            </w:r>
            <w:r w:rsidRPr="008061A9">
              <w:rPr>
                <w:rFonts w:asciiTheme="minorHAnsi" w:hAnsiTheme="minorHAnsi" w:cstheme="minorHAnsi"/>
                <w:bCs/>
                <w:sz w:val="18"/>
                <w:szCs w:val="18"/>
              </w:rPr>
              <w:t>со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 статьей 6.1-2</w:t>
            </w:r>
            <w:r w:rsidRPr="008061A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t xml:space="preserve">Федерального закона от 21 декабря 2013 года № 353-ФЗ «О потребительском кредите (займе)» и иные сообщения в связи с ним должны составляться в письменной форме и будут считаться поданными надлежащим образом, если они получены Банком при личном обращении Заемщика в офис </w:t>
            </w:r>
            <w:r w:rsidRPr="008061A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Банка или направлены в Банк по почте заказным письмом с уведомлением о вручении.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32257">
              <w:rPr>
                <w:sz w:val="18"/>
                <w:szCs w:val="18"/>
                <w:lang w:val="en-US"/>
              </w:rPr>
              <w:lastRenderedPageBreak/>
              <w:t>17.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Номер счета для зачисления/погашения Кредита («Счет»)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E6823">
              <w:rPr>
                <w:sz w:val="18"/>
                <w:szCs w:val="18"/>
              </w:rPr>
              <w:t>текущий счет в Банке №____________________________________/текущий счет в валюте Кредита</w:t>
            </w:r>
            <w:r w:rsidRPr="00532257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EC7A1D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заранее данном акцепте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EC7A1D" w:rsidRDefault="008061A9" w:rsidP="008061A9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C7A1D">
              <w:rPr>
                <w:i/>
                <w:color w:val="FF0000"/>
                <w:sz w:val="18"/>
                <w:szCs w:val="18"/>
              </w:rPr>
              <w:t>[Указывается условие о прямом дебетовании, согласованное с заемщиком]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6024B8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Использование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6024B8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B60AD">
              <w:rPr>
                <w:i/>
                <w:color w:val="FF0000"/>
                <w:sz w:val="18"/>
                <w:szCs w:val="18"/>
              </w:rPr>
              <w:t>[</w:t>
            </w:r>
            <w:r>
              <w:rPr>
                <w:i/>
                <w:color w:val="FF0000"/>
                <w:sz w:val="18"/>
                <w:szCs w:val="18"/>
              </w:rPr>
              <w:t>при</w:t>
            </w:r>
            <w:r w:rsidRPr="008B60AD">
              <w:rPr>
                <w:i/>
                <w:color w:val="FF0000"/>
                <w:sz w:val="18"/>
                <w:szCs w:val="18"/>
              </w:rPr>
              <w:t xml:space="preserve"> предоставлени</w:t>
            </w:r>
            <w:r>
              <w:rPr>
                <w:i/>
                <w:color w:val="FF0000"/>
                <w:sz w:val="18"/>
                <w:szCs w:val="18"/>
              </w:rPr>
              <w:t>и</w:t>
            </w:r>
            <w:r w:rsidRPr="008B60AD">
              <w:rPr>
                <w:i/>
                <w:color w:val="FF0000"/>
                <w:sz w:val="18"/>
                <w:szCs w:val="18"/>
              </w:rPr>
              <w:t xml:space="preserve"> отсрочки с минимальными платежами]</w:t>
            </w:r>
            <w:r w:rsidRPr="006024B8">
              <w:rPr>
                <w:sz w:val="18"/>
                <w:szCs w:val="18"/>
              </w:rPr>
              <w:t xml:space="preserve">Использование Кредита производится путем зачисления Банком суммы Кредита на текущий счет Заемщика в Банке № _____(№ счета по плану счетов Банка России _________________________________) далее именуемый «Счет» в следующем порядке: </w:t>
            </w:r>
          </w:p>
          <w:p w:rsidR="008061A9" w:rsidRPr="006024B8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024B8">
              <w:rPr>
                <w:sz w:val="18"/>
                <w:szCs w:val="18"/>
              </w:rPr>
              <w:t xml:space="preserve">а) Первая часть Кредита предоставляется _____ </w:t>
            </w:r>
            <w:r w:rsidRPr="008B60AD">
              <w:rPr>
                <w:i/>
                <w:color w:val="FF0000"/>
                <w:sz w:val="18"/>
                <w:szCs w:val="18"/>
              </w:rPr>
              <w:t xml:space="preserve">[количество сумм] </w:t>
            </w:r>
            <w:r w:rsidRPr="008B60AD">
              <w:rPr>
                <w:sz w:val="18"/>
                <w:szCs w:val="18"/>
              </w:rPr>
              <w:t>суммами</w:t>
            </w:r>
            <w:r w:rsidRPr="008B60AD">
              <w:rPr>
                <w:i/>
                <w:color w:val="FF0000"/>
                <w:sz w:val="18"/>
                <w:szCs w:val="18"/>
              </w:rPr>
              <w:t>, каждая из которых составляет ______,/при этом Первая сумма составляет _________, остальные _________,</w:t>
            </w:r>
            <w:r w:rsidRPr="00602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24B8">
              <w:rPr>
                <w:sz w:val="18"/>
                <w:szCs w:val="18"/>
              </w:rPr>
              <w:t>которые зачисляются:</w:t>
            </w:r>
          </w:p>
          <w:p w:rsidR="008061A9" w:rsidRPr="006024B8" w:rsidRDefault="008061A9" w:rsidP="008061A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  <w:r w:rsidRPr="006024B8">
              <w:rPr>
                <w:sz w:val="18"/>
                <w:szCs w:val="18"/>
              </w:rPr>
              <w:t xml:space="preserve">- </w:t>
            </w:r>
            <w:r w:rsidRPr="006024B8">
              <w:rPr>
                <w:sz w:val="18"/>
                <w:szCs w:val="18"/>
              </w:rPr>
              <w:softHyphen/>
              <w:t xml:space="preserve">_______ </w:t>
            </w:r>
            <w:r w:rsidRPr="008B60AD">
              <w:rPr>
                <w:i/>
                <w:color w:val="FF0000"/>
                <w:sz w:val="18"/>
                <w:szCs w:val="18"/>
              </w:rPr>
              <w:t>[Первая, Вторая и т.д.]</w:t>
            </w:r>
            <w:r w:rsidRPr="00602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24B8">
              <w:rPr>
                <w:sz w:val="18"/>
                <w:szCs w:val="18"/>
              </w:rPr>
              <w:t>сумма, - «____» ______ года. Указанная дата считается датой использования _______</w:t>
            </w:r>
            <w:r w:rsidRPr="00602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221B">
              <w:rPr>
                <w:i/>
                <w:color w:val="FF0000"/>
                <w:sz w:val="18"/>
                <w:szCs w:val="18"/>
              </w:rPr>
              <w:t>[Первой, Второй и т.д.]</w:t>
            </w:r>
            <w:r w:rsidRPr="00602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24B8">
              <w:rPr>
                <w:sz w:val="18"/>
                <w:szCs w:val="18"/>
              </w:rPr>
              <w:t>суммы Первой части Кредита.</w:t>
            </w:r>
            <w:r w:rsidRPr="00602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B60AD">
              <w:rPr>
                <w:i/>
                <w:color w:val="FF0000"/>
                <w:sz w:val="18"/>
                <w:szCs w:val="18"/>
              </w:rPr>
              <w:t xml:space="preserve"> [Включается количество абзацев, равное количеству сумм на погашение задолженности по Реструктурируемому кредиту, в каждом последующем абзаце указывается следующая по порядку сумма]</w:t>
            </w:r>
          </w:p>
          <w:p w:rsidR="008061A9" w:rsidRPr="006024B8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024B8">
              <w:rPr>
                <w:sz w:val="18"/>
                <w:szCs w:val="18"/>
              </w:rPr>
              <w:t>б) Вторая часть Кредита предоставляется в Дату Первого Погашения Кредита. Указанная дата считается датой использования Второй части Кредита.</w:t>
            </w:r>
          </w:p>
          <w:p w:rsidR="008061A9" w:rsidRPr="006024B8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061A9" w:rsidRPr="00532257" w:rsidRDefault="008061A9" w:rsidP="008061A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6024B8">
              <w:rPr>
                <w:i/>
                <w:color w:val="FF0000"/>
                <w:sz w:val="18"/>
                <w:szCs w:val="18"/>
              </w:rPr>
              <w:t>[</w:t>
            </w:r>
            <w:r>
              <w:rPr>
                <w:i/>
                <w:color w:val="FF0000"/>
                <w:sz w:val="18"/>
                <w:szCs w:val="18"/>
              </w:rPr>
              <w:t>при</w:t>
            </w:r>
            <w:r w:rsidRPr="006024B8">
              <w:rPr>
                <w:i/>
                <w:color w:val="FF0000"/>
                <w:sz w:val="18"/>
                <w:szCs w:val="18"/>
              </w:rPr>
              <w:t xml:space="preserve"> предоставлени</w:t>
            </w:r>
            <w:r>
              <w:rPr>
                <w:i/>
                <w:color w:val="FF0000"/>
                <w:sz w:val="18"/>
                <w:szCs w:val="18"/>
              </w:rPr>
              <w:t>и</w:t>
            </w:r>
            <w:r w:rsidRPr="006024B8">
              <w:rPr>
                <w:i/>
                <w:color w:val="FF0000"/>
                <w:sz w:val="18"/>
                <w:szCs w:val="18"/>
              </w:rPr>
              <w:t xml:space="preserve"> отсрочки  без минимальных платежей]</w:t>
            </w:r>
            <w:r w:rsidRPr="006024B8">
              <w:rPr>
                <w:sz w:val="18"/>
                <w:szCs w:val="18"/>
              </w:rPr>
              <w:t>Использование Кредита производится «___» ________ года  путем зачисления Банком суммы Кредита на текущий счет Заемщика в Банке № _____(№ счета по плану счетов Банка России _________________________________) далее именуемый «Счет». Указанная дата считается датой использования Кредита.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32257">
              <w:rPr>
                <w:sz w:val="18"/>
                <w:szCs w:val="18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Иные согласия, поручения и заявления заемщика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Подписанием настоящих Индивидуальных условий Заемщик, действуя своей волей и в своем интересе, предоставляет свое согласие и уполномочивает Банк:</w:t>
            </w:r>
          </w:p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32257">
              <w:rPr>
                <w:sz w:val="18"/>
                <w:szCs w:val="18"/>
              </w:rPr>
              <w:t xml:space="preserve"> на передачу персональных данных Заемщика и иной информации, связанной с предоставлением и обслуживанием кредита, в том числе относящейся к сведениям, составляющим банковскую тайну, организациям, оказывающим услуги по взысканию задолженности на основании договоров с Банком, в том числе перечень которых приведен на странице «Способы погашения кредита» сайта Банка www.unicreditbank.ru.  </w:t>
            </w:r>
            <w:r>
              <w:rPr>
                <w:sz w:val="18"/>
                <w:szCs w:val="18"/>
              </w:rPr>
              <w:t>-</w:t>
            </w:r>
            <w:r w:rsidRPr="00532257">
              <w:rPr>
                <w:sz w:val="18"/>
                <w:szCs w:val="18"/>
              </w:rPr>
              <w:t xml:space="preserve"> в случае нарушения Заемщиком его обязательств по погашению Задолженности по Кредиту </w:t>
            </w:r>
            <w:r>
              <w:rPr>
                <w:sz w:val="18"/>
                <w:szCs w:val="18"/>
              </w:rPr>
              <w:t xml:space="preserve">по Договору </w:t>
            </w:r>
            <w:r w:rsidRPr="00532257">
              <w:rPr>
                <w:sz w:val="18"/>
                <w:szCs w:val="18"/>
              </w:rPr>
              <w:t>указанные данные и информация могут быть переданы Банком с целью осуществления действий, направленных на взыскание задолженности, включая, помимо прочего, осуществление Банком уступки прав (требований) третьим лицам по кредиту и иным договорам, обеспечивающим исполнение обязательств по нему</w:t>
            </w:r>
            <w:r>
              <w:rPr>
                <w:sz w:val="18"/>
                <w:szCs w:val="18"/>
              </w:rPr>
              <w:t>.</w:t>
            </w:r>
            <w:r w:rsidRPr="00532257">
              <w:rPr>
                <w:sz w:val="18"/>
                <w:szCs w:val="18"/>
              </w:rPr>
              <w:t xml:space="preserve"> </w:t>
            </w:r>
          </w:p>
          <w:p w:rsidR="008061A9" w:rsidRPr="00532257" w:rsidRDefault="008061A9" w:rsidP="008061A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Заемщик подтверждает свое согласие с тем, что настоящие Индивидуальные условия будут скреплены аналогом собственноручной подписи уполномоченных лиц Банка в соответствии с заключенным с Банком Договором комплексного банковско</w:t>
            </w:r>
            <w:r>
              <w:rPr>
                <w:sz w:val="18"/>
                <w:szCs w:val="18"/>
              </w:rPr>
              <w:t xml:space="preserve">го обслуживания физических лиц </w:t>
            </w:r>
            <w:r w:rsidRPr="00532257">
              <w:rPr>
                <w:sz w:val="18"/>
                <w:szCs w:val="18"/>
              </w:rPr>
              <w:t>АО ЮниКредит Банк.</w:t>
            </w:r>
          </w:p>
        </w:tc>
      </w:tr>
      <w:tr w:rsidR="008061A9" w:rsidRPr="00532257" w:rsidTr="008061A9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Default="008061A9" w:rsidP="008061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взыскании задолженности во внесудебном порядке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A9" w:rsidRPr="00532257" w:rsidRDefault="008061A9" w:rsidP="008061A9">
            <w:pPr>
              <w:spacing w:after="0" w:line="240" w:lineRule="auto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 xml:space="preserve">На основании статьей 89 и 90 Основ законодательства Российской Федерации о нотариате от 11 февраля 1993 года № 4462-1 реализовать свое право на взыскание задолженности по настоящему </w:t>
            </w:r>
            <w:r>
              <w:rPr>
                <w:sz w:val="18"/>
                <w:szCs w:val="18"/>
              </w:rPr>
              <w:t xml:space="preserve">Договору о </w:t>
            </w:r>
            <w:r w:rsidRPr="000609F7">
              <w:rPr>
                <w:sz w:val="18"/>
                <w:szCs w:val="18"/>
              </w:rPr>
              <w:t xml:space="preserve">предоставлении кредита на погашение кредитной задолженности и уплаты процентов </w:t>
            </w:r>
            <w:r w:rsidRPr="00076157">
              <w:rPr>
                <w:sz w:val="18"/>
                <w:szCs w:val="18"/>
              </w:rPr>
              <w:t>в бесспорном порядке на основании исполнительной надписи нотариуса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2575C" w:rsidRPr="00A75DB6" w:rsidRDefault="0022575C" w:rsidP="009401D9"/>
    <w:p w:rsidR="00395571" w:rsidRPr="00A75DB6" w:rsidRDefault="00395571" w:rsidP="009401D9"/>
    <w:p w:rsidR="0022575C" w:rsidRPr="00863654" w:rsidRDefault="0022575C" w:rsidP="009401D9">
      <w:pPr>
        <w:rPr>
          <w:b/>
        </w:rPr>
      </w:pPr>
      <w:r w:rsidRPr="00863654">
        <w:rPr>
          <w:b/>
        </w:rPr>
        <w:t>БАНК:</w:t>
      </w:r>
    </w:p>
    <w:p w:rsidR="0022575C" w:rsidRDefault="006B0806" w:rsidP="009401D9">
      <w:r>
        <w:lastRenderedPageBreak/>
        <w:t>А</w:t>
      </w:r>
      <w:r w:rsidR="0022575C">
        <w:t>кционерное общество «ЮниКредит Банк», генеральная  лицензия № 1 от ______, юридический адрес: Россия, Москва, 119034, Пречистенская наб. 9.</w:t>
      </w:r>
    </w:p>
    <w:p w:rsidR="0022575C" w:rsidRPr="00863654" w:rsidRDefault="0022575C" w:rsidP="009401D9">
      <w:r w:rsidRPr="00863654">
        <w:t>Подпись Уполномоченного лица Банка __________________</w:t>
      </w:r>
      <w:r w:rsidRPr="00863654">
        <w:tab/>
      </w:r>
      <w:r w:rsidRPr="00863654">
        <w:tab/>
      </w:r>
      <w:r w:rsidRPr="00863654">
        <w:tab/>
      </w:r>
      <w:r w:rsidRPr="00863654">
        <w:tab/>
      </w:r>
      <w:r w:rsidRPr="00863654">
        <w:tab/>
      </w:r>
    </w:p>
    <w:p w:rsidR="0022575C" w:rsidRDefault="0022575C" w:rsidP="009401D9"/>
    <w:p w:rsidR="0022575C" w:rsidRPr="00863654" w:rsidRDefault="0022575C" w:rsidP="009401D9">
      <w:pPr>
        <w:rPr>
          <w:b/>
        </w:rPr>
      </w:pPr>
      <w:r w:rsidRPr="00863654">
        <w:rPr>
          <w:b/>
        </w:rPr>
        <w:t>ЗАЕМЩИК: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616"/>
        <w:gridCol w:w="356"/>
        <w:gridCol w:w="180"/>
        <w:gridCol w:w="2520"/>
        <w:gridCol w:w="1080"/>
        <w:gridCol w:w="4140"/>
      </w:tblGrid>
      <w:tr w:rsidR="0022575C" w:rsidRPr="00532257">
        <w:trPr>
          <w:trHeight w:val="115"/>
        </w:trPr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both"/>
              <w:rPr>
                <w:rFonts w:cs="Arial"/>
                <w:bCs/>
                <w:i/>
              </w:rPr>
            </w:pPr>
          </w:p>
        </w:tc>
      </w:tr>
      <w:tr w:rsidR="0022575C" w:rsidRPr="00532257">
        <w:tc>
          <w:tcPr>
            <w:tcW w:w="9900" w:type="dxa"/>
            <w:gridSpan w:val="7"/>
            <w:tcBorders>
              <w:top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center"/>
              <w:rPr>
                <w:rFonts w:cs="Arial"/>
                <w:bCs/>
                <w:vertAlign w:val="superscript"/>
              </w:rPr>
            </w:pPr>
            <w:r w:rsidRPr="00532257">
              <w:rPr>
                <w:rFonts w:cs="Arial"/>
                <w:bCs/>
                <w:vertAlign w:val="superscript"/>
              </w:rPr>
              <w:t>(фамилия, имя, отчество)</w:t>
            </w:r>
          </w:p>
        </w:tc>
      </w:tr>
      <w:tr w:rsidR="0022575C" w:rsidRPr="00532257">
        <w:trPr>
          <w:cantSplit/>
          <w:trHeight w:val="193"/>
        </w:trPr>
        <w:tc>
          <w:tcPr>
            <w:tcW w:w="1008" w:type="dxa"/>
          </w:tcPr>
          <w:p w:rsidR="0022575C" w:rsidRPr="00F026EF" w:rsidRDefault="0022575C" w:rsidP="009E14C4">
            <w:pPr>
              <w:pStyle w:val="Heading1"/>
              <w:spacing w:before="40" w:after="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F026EF">
              <w:rPr>
                <w:rFonts w:ascii="Calibri" w:hAnsi="Calibri"/>
                <w:bCs/>
                <w:sz w:val="22"/>
                <w:szCs w:val="22"/>
              </w:rPr>
              <w:t>Паспорт</w:t>
            </w:r>
          </w:p>
        </w:tc>
        <w:tc>
          <w:tcPr>
            <w:tcW w:w="1152" w:type="dxa"/>
            <w:gridSpan w:val="3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Серия и номер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1080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Дата выдачи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177"/>
        </w:trPr>
        <w:tc>
          <w:tcPr>
            <w:tcW w:w="1008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972" w:type="dxa"/>
            <w:gridSpan w:val="2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Выдан (кем)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Адрес регистрации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73"/>
        <w:gridCol w:w="5359"/>
      </w:tblGrid>
      <w:tr w:rsidR="0022575C" w:rsidRPr="00532257"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ОТМЕТКА О ВРУЧЕНИИ ЗАЕМЩИКУ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«Индивидуальные условия договора потребительского кредита» </w:t>
            </w:r>
            <w:r w:rsidR="003B1754" w:rsidRPr="003B1754">
              <w:t xml:space="preserve">на ___ (____) листах, на каждом из которых содержится одинаковая последовательность символов, однозначно связанная с их содержанием и предназначенная для проверки их подлинности, </w:t>
            </w:r>
            <w:r w:rsidRPr="00532257">
              <w:t>получил: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 в г. __________.</w:t>
            </w:r>
          </w:p>
          <w:p w:rsidR="00F0677A" w:rsidRDefault="00F0677A" w:rsidP="00532257">
            <w:pPr>
              <w:spacing w:after="0" w:line="240" w:lineRule="auto"/>
              <w:rPr>
                <w:lang w:val="en-US"/>
              </w:rPr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Подпись Заемщика</w:t>
            </w: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С «Индивидуальными условиями договора потребительского кредита» ознакомлен и согласен, подписанием настоящих Индивидуальных условий заключаю с Банком Договор о предоставлении кредита </w:t>
            </w:r>
            <w:r w:rsidR="00F0677A" w:rsidRPr="00F0677A">
              <w:t>на погашение кредитной задолженности и уплаты процентов</w:t>
            </w:r>
            <w:r w:rsidRPr="00532257">
              <w:t>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(фамилия, имя и отчество Заемщика)</w:t>
            </w:r>
          </w:p>
          <w:p w:rsidR="00F0677A" w:rsidRPr="00350BBA" w:rsidRDefault="00F0677A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Подпись Заемщика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г.</w:t>
            </w:r>
          </w:p>
          <w:p w:rsidR="0022575C" w:rsidRPr="00532257" w:rsidRDefault="0022575C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sectPr w:rsidR="0022575C" w:rsidSect="00395571">
      <w:headerReference w:type="default" r:id="rId10"/>
      <w:pgSz w:w="11906" w:h="16838"/>
      <w:pgMar w:top="709" w:right="707" w:bottom="36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BC3" w:rsidRDefault="00421BC3" w:rsidP="00D14233">
      <w:pPr>
        <w:spacing w:after="0" w:line="240" w:lineRule="auto"/>
      </w:pPr>
      <w:r>
        <w:separator/>
      </w:r>
    </w:p>
  </w:endnote>
  <w:endnote w:type="continuationSeparator" w:id="0">
    <w:p w:rsidR="00421BC3" w:rsidRDefault="00421BC3" w:rsidP="00D1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BC3" w:rsidRDefault="00421BC3" w:rsidP="00D14233">
      <w:pPr>
        <w:spacing w:after="0" w:line="240" w:lineRule="auto"/>
      </w:pPr>
      <w:r>
        <w:separator/>
      </w:r>
    </w:p>
  </w:footnote>
  <w:footnote w:type="continuationSeparator" w:id="0">
    <w:p w:rsidR="00421BC3" w:rsidRDefault="00421BC3" w:rsidP="00D14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233" w:rsidRDefault="00D142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5b647ddb0105c801a45af62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14233" w:rsidRPr="00D14233" w:rsidRDefault="00D14233" w:rsidP="00D14233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A80000"/>
                            </w:rPr>
                          </w:pPr>
                          <w:r w:rsidRPr="00D14233">
                            <w:rPr>
                              <w:rFonts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65b647ddb0105c801a45af62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" o:allowincell="f" filled="f" stroked="f" strokeweight=".5pt">
              <v:textbox inset=",0,,0">
                <w:txbxContent>
                  <w:p w:rsidR="00D14233" w:rsidRPr="00D14233" w:rsidRDefault="00D14233" w:rsidP="00D14233">
                    <w:pPr>
                      <w:spacing w:after="0"/>
                      <w:jc w:val="center"/>
                      <w:rPr>
                        <w:rFonts w:cs="Calibri"/>
                        <w:color w:val="A80000"/>
                      </w:rPr>
                    </w:pPr>
                    <w:r w:rsidRPr="00D14233">
                      <w:rPr>
                        <w:rFonts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704E"/>
    <w:multiLevelType w:val="hybridMultilevel"/>
    <w:tmpl w:val="5A0E52FA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 w15:restartNumberingAfterBreak="0">
    <w:nsid w:val="40E6759E"/>
    <w:multiLevelType w:val="hybridMultilevel"/>
    <w:tmpl w:val="9BB8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12064"/>
    <w:rsid w:val="00021A22"/>
    <w:rsid w:val="00055906"/>
    <w:rsid w:val="000609F7"/>
    <w:rsid w:val="00067889"/>
    <w:rsid w:val="000956EB"/>
    <w:rsid w:val="000A196F"/>
    <w:rsid w:val="000C143C"/>
    <w:rsid w:val="000E2298"/>
    <w:rsid w:val="000E72C5"/>
    <w:rsid w:val="000F26A8"/>
    <w:rsid w:val="00103D11"/>
    <w:rsid w:val="00117C17"/>
    <w:rsid w:val="001318DB"/>
    <w:rsid w:val="001324B4"/>
    <w:rsid w:val="00147D45"/>
    <w:rsid w:val="001607EF"/>
    <w:rsid w:val="00184685"/>
    <w:rsid w:val="001950F4"/>
    <w:rsid w:val="001A67C5"/>
    <w:rsid w:val="001B4AE7"/>
    <w:rsid w:val="001D69AD"/>
    <w:rsid w:val="001E7BDB"/>
    <w:rsid w:val="002164BC"/>
    <w:rsid w:val="0022575C"/>
    <w:rsid w:val="00225BB8"/>
    <w:rsid w:val="00235255"/>
    <w:rsid w:val="00241DFC"/>
    <w:rsid w:val="00242D18"/>
    <w:rsid w:val="002A0684"/>
    <w:rsid w:val="002B61E5"/>
    <w:rsid w:val="002C0400"/>
    <w:rsid w:val="002D3DB2"/>
    <w:rsid w:val="0030221B"/>
    <w:rsid w:val="003479BA"/>
    <w:rsid w:val="00350BBA"/>
    <w:rsid w:val="00365C82"/>
    <w:rsid w:val="003922A0"/>
    <w:rsid w:val="00395571"/>
    <w:rsid w:val="003B1754"/>
    <w:rsid w:val="003C604A"/>
    <w:rsid w:val="00417C8B"/>
    <w:rsid w:val="00421BC3"/>
    <w:rsid w:val="0043140B"/>
    <w:rsid w:val="004521FC"/>
    <w:rsid w:val="00467269"/>
    <w:rsid w:val="00467CA9"/>
    <w:rsid w:val="00474698"/>
    <w:rsid w:val="004A5878"/>
    <w:rsid w:val="004B3AFB"/>
    <w:rsid w:val="004D14AF"/>
    <w:rsid w:val="004F4527"/>
    <w:rsid w:val="00511444"/>
    <w:rsid w:val="005119CE"/>
    <w:rsid w:val="00516171"/>
    <w:rsid w:val="00516EED"/>
    <w:rsid w:val="00532257"/>
    <w:rsid w:val="00591BDA"/>
    <w:rsid w:val="005A3EC1"/>
    <w:rsid w:val="005C00F1"/>
    <w:rsid w:val="005C2FCF"/>
    <w:rsid w:val="005D0FFA"/>
    <w:rsid w:val="005E6823"/>
    <w:rsid w:val="005F4F55"/>
    <w:rsid w:val="00601042"/>
    <w:rsid w:val="006024B8"/>
    <w:rsid w:val="00615EB5"/>
    <w:rsid w:val="00632047"/>
    <w:rsid w:val="0063641B"/>
    <w:rsid w:val="00641EC5"/>
    <w:rsid w:val="00650D51"/>
    <w:rsid w:val="006B0806"/>
    <w:rsid w:val="006B0E06"/>
    <w:rsid w:val="006C1614"/>
    <w:rsid w:val="00700F99"/>
    <w:rsid w:val="00724378"/>
    <w:rsid w:val="007543E8"/>
    <w:rsid w:val="00786CD1"/>
    <w:rsid w:val="00791348"/>
    <w:rsid w:val="00793086"/>
    <w:rsid w:val="007934E0"/>
    <w:rsid w:val="007E3EA3"/>
    <w:rsid w:val="007F5585"/>
    <w:rsid w:val="008061A9"/>
    <w:rsid w:val="00813A2C"/>
    <w:rsid w:val="0084085F"/>
    <w:rsid w:val="008617E9"/>
    <w:rsid w:val="00863654"/>
    <w:rsid w:val="008756AA"/>
    <w:rsid w:val="00882766"/>
    <w:rsid w:val="008A7E25"/>
    <w:rsid w:val="008B60AD"/>
    <w:rsid w:val="008C7A2E"/>
    <w:rsid w:val="008D035C"/>
    <w:rsid w:val="008D7A00"/>
    <w:rsid w:val="00910768"/>
    <w:rsid w:val="009401D9"/>
    <w:rsid w:val="00941333"/>
    <w:rsid w:val="00961004"/>
    <w:rsid w:val="0097080E"/>
    <w:rsid w:val="00982311"/>
    <w:rsid w:val="00995FE7"/>
    <w:rsid w:val="009A56D3"/>
    <w:rsid w:val="009A6049"/>
    <w:rsid w:val="009E14C4"/>
    <w:rsid w:val="009F1C5F"/>
    <w:rsid w:val="00A40628"/>
    <w:rsid w:val="00A626F5"/>
    <w:rsid w:val="00A75DB6"/>
    <w:rsid w:val="00A94C47"/>
    <w:rsid w:val="00AC3BCC"/>
    <w:rsid w:val="00AD3D12"/>
    <w:rsid w:val="00AE0935"/>
    <w:rsid w:val="00B06AAA"/>
    <w:rsid w:val="00B21C58"/>
    <w:rsid w:val="00B22B26"/>
    <w:rsid w:val="00B24371"/>
    <w:rsid w:val="00B64B84"/>
    <w:rsid w:val="00B64E90"/>
    <w:rsid w:val="00B679CE"/>
    <w:rsid w:val="00B80048"/>
    <w:rsid w:val="00BA0688"/>
    <w:rsid w:val="00BB126F"/>
    <w:rsid w:val="00C3092B"/>
    <w:rsid w:val="00C321BB"/>
    <w:rsid w:val="00C43402"/>
    <w:rsid w:val="00C64DF0"/>
    <w:rsid w:val="00C7207F"/>
    <w:rsid w:val="00C9748A"/>
    <w:rsid w:val="00CC3B7F"/>
    <w:rsid w:val="00CC3EDA"/>
    <w:rsid w:val="00D14233"/>
    <w:rsid w:val="00D37CFE"/>
    <w:rsid w:val="00D63D2A"/>
    <w:rsid w:val="00DE2F20"/>
    <w:rsid w:val="00E0697E"/>
    <w:rsid w:val="00E26BA4"/>
    <w:rsid w:val="00E35DA7"/>
    <w:rsid w:val="00E638F3"/>
    <w:rsid w:val="00E72A83"/>
    <w:rsid w:val="00EB74BD"/>
    <w:rsid w:val="00EC1556"/>
    <w:rsid w:val="00EC7A1D"/>
    <w:rsid w:val="00ED038A"/>
    <w:rsid w:val="00EF7D8F"/>
    <w:rsid w:val="00F026EF"/>
    <w:rsid w:val="00F0677A"/>
    <w:rsid w:val="00F6383A"/>
    <w:rsid w:val="00F85D03"/>
    <w:rsid w:val="00F9701C"/>
    <w:rsid w:val="00FD75F2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B920620-431A-46AE-B0FA-AD256497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26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hAnsi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D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sid w:val="009401D9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link w:val="Heading2"/>
    <w:locked/>
    <w:rsid w:val="009401D9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hAnsi="Arial" w:cs="Arial"/>
      <w:sz w:val="20"/>
      <w:szCs w:val="24"/>
      <w:lang w:eastAsia="en-US"/>
    </w:rPr>
  </w:style>
  <w:style w:type="character" w:customStyle="1" w:styleId="BodyTextChar">
    <w:name w:val="Body Text Char"/>
    <w:link w:val="BodyText"/>
    <w:semiHidden/>
    <w:locked/>
    <w:rsid w:val="00995FE7"/>
    <w:rPr>
      <w:rFonts w:ascii="Arial" w:hAnsi="Arial" w:cs="Arial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semiHidden/>
    <w:locked/>
    <w:rsid w:val="00995FE7"/>
    <w:rPr>
      <w:rFonts w:ascii="Arial" w:hAnsi="Arial" w:cs="Arial"/>
      <w:bCs/>
      <w:caps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995FE7"/>
    <w:pPr>
      <w:ind w:left="720"/>
    </w:pPr>
    <w:rPr>
      <w:lang w:eastAsia="en-US"/>
    </w:rPr>
  </w:style>
  <w:style w:type="character" w:styleId="CommentReference">
    <w:name w:val="annotation reference"/>
    <w:semiHidden/>
    <w:rsid w:val="00ED03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D03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D03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D038A"/>
    <w:rPr>
      <w:rFonts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semiHidden/>
    <w:rsid w:val="004B3AFB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FooterChar">
    <w:name w:val="Footer Char"/>
    <w:link w:val="Footer"/>
    <w:semiHidden/>
    <w:rsid w:val="004B3AFB"/>
    <w:rPr>
      <w:lang w:val="ru-RU" w:eastAsia="en-US" w:bidi="ar-SA"/>
    </w:rPr>
  </w:style>
  <w:style w:type="character" w:styleId="Hyperlink">
    <w:name w:val="Hyperlink"/>
    <w:uiPriority w:val="99"/>
    <w:rsid w:val="005F4F5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14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142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reditban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creditban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2585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ZAO UniCredit Bank</Company>
  <LinksUpToDate>false</LinksUpToDate>
  <CharactersWithSpaces>17288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MAKSIMENKO, Liliya V. (UniCredit Bank - RUS)</cp:lastModifiedBy>
  <cp:revision>7</cp:revision>
  <cp:lastPrinted>2014-08-01T06:58:00Z</cp:lastPrinted>
  <dcterms:created xsi:type="dcterms:W3CDTF">2023-10-18T07:28:00Z</dcterms:created>
  <dcterms:modified xsi:type="dcterms:W3CDTF">2024-02-05T15:15:00Z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2024-02-05T15:15:02Z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b9c4cb51-e90a-4c3a-9f0d-d954534d49de</vt:lpwstr>
  </property>
  <property fmtid="{D5CDD505-2E9C-101B-9397-08002B2CF9AE}" pid="8" name="MSIP_Label_5fd8acd0-2088-4c88-95af-44afd70d8efe_ContentBits">
    <vt:lpwstr>1</vt:lpwstr>
  </property>
</Properties>
</file>